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процедуре подключения к сетям газораспределения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7"/>
        <w:gridCol w:w="1372"/>
        <w:gridCol w:w="1350"/>
        <w:gridCol w:w="921"/>
        <w:gridCol w:w="1302"/>
        <w:gridCol w:w="1901"/>
        <w:gridCol w:w="1845"/>
        <w:gridCol w:w="1876"/>
        <w:gridCol w:w="1825"/>
        <w:gridCol w:w="1423"/>
        <w:gridCol w:w="1132"/>
      </w:tblGrid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(Процедура)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фактический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</w:t>
            </w:r>
            <w:r>
              <w:rPr>
                <w:rFonts w:ascii="Times New Roman" w:hAnsi="Times New Roman"/>
                <w:color w:val="000000"/>
              </w:rPr>
              <w:t>инвестицион-ных</w:t>
            </w:r>
            <w:r>
              <w:rPr>
                <w:rFonts w:ascii="Times New Roman" w:hAnsi="Times New Roman"/>
                <w:color w:val="000000"/>
              </w:rPr>
              <w:t xml:space="preserve"> проектов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154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1. Заключение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(далее – договор о подключении) с приложением технических условий, являющихся неотъемлемой частью договора о подключении</w:t>
            </w:r>
          </w:p>
        </w:tc>
      </w:tr>
      <w:t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type="dxa" w:w="1372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Направление заявителем (инвестором) заявки о </w:t>
            </w:r>
            <w:r>
              <w:rPr>
                <w:rFonts w:ascii="Times New Roman" w:hAnsi="Times New Roman"/>
                <w:color w:val="000000"/>
              </w:rPr>
              <w:t>заключении</w:t>
            </w:r>
            <w:r>
              <w:rPr>
                <w:rFonts w:ascii="Times New Roman" w:hAnsi="Times New Roman"/>
                <w:color w:val="000000"/>
              </w:rPr>
              <w:t xml:space="preserve"> о подключении (далее - заявка о подключении)</w:t>
            </w:r>
          </w:p>
        </w:tc>
        <w:tc>
          <w:tcPr>
            <w:tcW w:type="dxa" w:w="1350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921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1302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Заявка о подключении с приложением документов: </w:t>
            </w:r>
          </w:p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Ситуационный план; </w:t>
            </w:r>
          </w:p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Топографическая карта земельного участка заявителя в </w:t>
            </w:r>
            <w:r>
              <w:rPr>
                <w:rFonts w:ascii="Times New Roman" w:hAnsi="Times New Roman"/>
                <w:color w:val="000000"/>
              </w:rPr>
              <w:t>масштабе</w:t>
            </w:r>
            <w:r>
              <w:rPr>
                <w:rFonts w:ascii="Times New Roman" w:hAnsi="Times New Roman"/>
                <w:color w:val="000000"/>
              </w:rPr>
              <w:t xml:space="preserve">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</w:t>
            </w:r>
            <w:r>
              <w:rPr>
                <w:rFonts w:ascii="Times New Roman" w:hAnsi="Times New Roman"/>
                <w:color w:val="000000"/>
              </w:rPr>
              <w:t xml:space="preserve">прилагается, если заказчик физическое лицо); </w:t>
            </w:r>
          </w:p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  <w:r>
              <w:rPr>
                <w:rFonts w:ascii="Times New Roman" w:hAnsi="Times New Roman"/>
                <w:color w:val="000000"/>
              </w:rPr>
              <w:t>Копия документа, подтверждающего право собственности или иное предусмотренное законом право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 (не требуется в</w:t>
            </w:r>
          </w:p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заявки о подключении в рамках "</w:t>
            </w:r>
            <w:r>
              <w:rPr>
                <w:rFonts w:ascii="Times New Roman" w:hAnsi="Times New Roman"/>
                <w:color w:val="000000"/>
              </w:rPr>
              <w:t>догазификации</w:t>
            </w:r>
            <w:r>
              <w:rPr>
                <w:rFonts w:ascii="Times New Roman" w:hAnsi="Times New Roman"/>
                <w:color w:val="000000"/>
              </w:rPr>
              <w:t xml:space="preserve">" раздела VII Правил подключения). При осуществлении строительства, реконструкции </w:t>
            </w:r>
            <w:r>
              <w:rPr>
                <w:rFonts w:ascii="Times New Roman" w:hAnsi="Times New Roman"/>
                <w:color w:val="000000"/>
              </w:rPr>
              <w:t xml:space="preserve">объекта федерального значения, объекта регионального значения или объекта местного значения на земельном участке или земельных участках, образованных из земель и (или) земельных участков, указанных в </w:t>
            </w:r>
            <w:r>
              <w:rPr>
                <w:rFonts w:ascii="Times New Roman" w:hAnsi="Times New Roman"/>
                <w:color w:val="000000"/>
              </w:rPr>
              <w:t>ч</w:t>
            </w:r>
            <w:r>
              <w:rPr>
                <w:rFonts w:ascii="Times New Roman" w:hAnsi="Times New Roman"/>
                <w:color w:val="000000"/>
              </w:rPr>
              <w:t>ac</w:t>
            </w:r>
            <w:r>
              <w:rPr>
                <w:rFonts w:ascii="Times New Roman" w:hAnsi="Times New Roman"/>
                <w:color w:val="000000"/>
              </w:rPr>
              <w:t>ти</w:t>
            </w:r>
            <w:r>
              <w:rPr>
                <w:rFonts w:ascii="Times New Roman" w:hAnsi="Times New Roman"/>
                <w:color w:val="000000"/>
              </w:rPr>
              <w:t xml:space="preserve"> 7.3 статьи 51 Градостроительного кодекса Российской Федерации (далее -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РФ),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</w:t>
            </w:r>
            <w:r>
              <w:rPr>
                <w:rFonts w:ascii="Times New Roman" w:hAnsi="Times New Roman"/>
                <w:color w:val="000000"/>
              </w:rPr>
              <w:t xml:space="preserve">кадастровом плане территории; </w:t>
            </w:r>
          </w:p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Доверенность или иные документы, подтверждающие полномочия представителя заявителя (в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, если заявка о подключении подается представителем заявителя); </w:t>
            </w:r>
          </w:p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Расчет максимального часового расхода газа (не прилагается, если планируемый максимальный часовой расход газа не более 7 куб. метров); </w:t>
            </w:r>
          </w:p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Документы, предусмотренные пунктом 106 Правил подключения, 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предоставления технических условий при уступке мощности; </w:t>
            </w:r>
          </w:p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7. Копия разработанной и утвержденной 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законодательством Российской Федерации документации по планировке территории</w:t>
            </w:r>
          </w:p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проект планировки территории и проект межевания территории), предусматривающей строительство сети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 в пределах территории, подлежащей комплексному развитию, в случае осуществления подключения технологического присоединения), предусмотренного пунктом 97 Правил подключения; </w:t>
            </w:r>
          </w:p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8. </w:t>
            </w:r>
            <w:r>
              <w:rPr>
                <w:rFonts w:ascii="Times New Roman" w:hAnsi="Times New Roman"/>
                <w:color w:val="000000"/>
              </w:rPr>
              <w:t xml:space="preserve">Копия документа, </w:t>
            </w:r>
            <w:r>
              <w:rPr>
                <w:rFonts w:ascii="Times New Roman" w:hAnsi="Times New Roman"/>
                <w:color w:val="000000"/>
              </w:rPr>
              <w:t>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 домовладение заявителя, а также страховой номер индивидуального лицевого счета и идентификационный номер налогоплательщика (в случае подачи заявки о подключении в рамках "</w:t>
            </w:r>
            <w:r>
              <w:rPr>
                <w:rFonts w:ascii="Times New Roman" w:hAnsi="Times New Roman"/>
                <w:color w:val="000000"/>
              </w:rPr>
              <w:t>догазификации</w:t>
            </w:r>
            <w:r>
              <w:rPr>
                <w:rFonts w:ascii="Times New Roman" w:hAnsi="Times New Roman"/>
                <w:color w:val="000000"/>
              </w:rPr>
              <w:t>" раздела VII Правил подключения.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Зарегистрированная заявка о подключении</w:t>
            </w:r>
          </w:p>
        </w:tc>
        <w:tc>
          <w:tcPr>
            <w:tcW w:type="dxa" w:w="18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10,11,16 Правил подключения (технологического присоединения) </w:t>
            </w:r>
            <w:r>
              <w:rPr>
                <w:rFonts w:ascii="Times New Roman" w:hAnsi="Times New Roman"/>
                <w:color w:val="000000"/>
              </w:rPr>
              <w:t>газоисполъзующего</w:t>
            </w:r>
            <w:r>
              <w:rPr>
                <w:rFonts w:ascii="Times New Roman" w:hAnsi="Times New Roman"/>
                <w:color w:val="000000"/>
              </w:rPr>
              <w:t xml:space="preserve"> оборудования и объектов капитального строительства </w:t>
            </w:r>
          </w:p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сетям </w:t>
            </w:r>
          </w:p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газораспределения, утвержденных Постановлением Правительства Российской Федерации от 13 сентября 2021 г. № 1547(далее - </w:t>
            </w:r>
            <w:r>
              <w:rPr>
                <w:rFonts w:ascii="Times New Roman" w:hAnsi="Times New Roman"/>
                <w:color w:val="000000"/>
              </w:rPr>
              <w:t>Правила подключения)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 Заключение </w:t>
            </w:r>
            <w:r>
              <w:rPr>
                <w:rFonts w:ascii="Times New Roman" w:hAnsi="Times New Roman"/>
                <w:color w:val="000000"/>
              </w:rPr>
              <w:t xml:space="preserve">органа охраны объектов культурного наследия </w:t>
            </w:r>
          </w:p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ч. 2,3 ст. 36, </w:t>
            </w:r>
            <w:r>
              <w:rPr>
                <w:rFonts w:ascii="Times New Roman" w:hAnsi="Times New Roman"/>
                <w:color w:val="000000"/>
              </w:rPr>
              <w:t>абз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3 ст. 30 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от 25.06.2002 № 73-ФЗ</w:t>
            </w:r>
            <w:r>
              <w:rPr>
                <w:rFonts w:ascii="Times New Roman" w:hAnsi="Times New Roman"/>
                <w:color w:val="000000"/>
              </w:rPr>
              <w:t xml:space="preserve"> )</w:t>
            </w:r>
          </w:p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</w:t>
            </w:r>
            <w:r>
              <w:rPr>
                <w:rFonts w:ascii="Times New Roman" w:hAnsi="Times New Roman"/>
                <w:color w:val="000000"/>
              </w:rPr>
              <w:t xml:space="preserve">объектов культурного (археологического) наследия, 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</w:t>
            </w:r>
            <w:r>
              <w:rPr>
                <w:rFonts w:ascii="Times New Roman" w:hAnsi="Times New Roman"/>
                <w:color w:val="000000"/>
              </w:rPr>
              <w:t>случае, если указанные земли расположены в границах территорий, утвержденных в соответствии с пунктом 34.2 пункта 1 статьи 9 Федерального</w:t>
            </w:r>
            <w:r>
              <w:rPr>
                <w:rFonts w:ascii="Times New Roman" w:hAnsi="Times New Roman"/>
                <w:color w:val="000000"/>
              </w:rPr>
              <w:t xml:space="preserve"> закона № 73-ФЗ;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случае, если планируется проведение работ в границах территорий объектов культурного наследия в том числе археологического или планируется проведен</w:t>
            </w:r>
            <w:r>
              <w:rPr>
                <w:rFonts w:ascii="Times New Roman" w:hAnsi="Times New Roman"/>
                <w:color w:val="000000"/>
              </w:rPr>
              <w:t>ие работ по подключению к сетям объекта, включенного в перечень  объектов культурного наследия; территорий, в отношении которых у органов охраны объе</w:t>
            </w:r>
            <w:r>
              <w:rPr>
                <w:rFonts w:ascii="Times New Roman" w:hAnsi="Times New Roman"/>
                <w:color w:val="000000"/>
              </w:rPr>
              <w:t xml:space="preserve">ктов культурного наследия имеются основания предполагать наличие на указанных территориях объектов археологического наследия либо объектов, обладающих </w:t>
            </w:r>
            <w:r>
              <w:rPr>
                <w:rFonts w:ascii="Times New Roman" w:hAnsi="Times New Roman"/>
                <w:color w:val="000000"/>
              </w:rPr>
              <w:t>признаками объекта археологического наследия</w:t>
            </w:r>
          </w:p>
          <w:p w14:paraId="2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Получение заявителем (инвестором) от </w:t>
            </w:r>
            <w:r>
              <w:rPr>
                <w:rFonts w:ascii="Times New Roman" w:hAnsi="Times New Roman"/>
                <w:color w:val="000000"/>
              </w:rPr>
              <w:t>исполнителя</w:t>
            </w:r>
            <w:r>
              <w:rPr>
                <w:rFonts w:ascii="Times New Roman" w:hAnsi="Times New Roman"/>
                <w:color w:val="000000"/>
              </w:rPr>
              <w:t xml:space="preserve"> подписанного со своей стороны проекта договора о подключении в 3 экземплярах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5, 15, 30 рабочих дней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5, 10, 25 рабочих дней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договора о подключении, подписанный со стороны исполнителя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договора о подключении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28 Правил подключения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Заявитель (инвестор) подписывает договор о подключении (в 3 экземплярах)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рабочих дней </w:t>
            </w:r>
          </w:p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рабочих дней </w:t>
            </w: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Подписанный заявителем (инвестором) в 3 </w:t>
            </w:r>
            <w:r>
              <w:rPr>
                <w:rFonts w:ascii="Times New Roman" w:hAnsi="Times New Roman"/>
                <w:color w:val="000000"/>
              </w:rPr>
              <w:t>экземплярах</w:t>
            </w:r>
            <w:r>
              <w:rPr>
                <w:rFonts w:ascii="Times New Roman" w:hAnsi="Times New Roman"/>
                <w:color w:val="000000"/>
              </w:rPr>
              <w:t xml:space="preserve"> проект договора о подключении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Заключенный договор о подключении с приложением технических условий подключения (технологического присоединения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Пункты 44-47 Правил подключения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546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2. Выполнение заявителем и исполнителем условий договора о подключении в рамках комплексной услуги, которая включает проектно-изыскательские работы, строительно-монтажные работы в границе земельного участка заявителя (инвестора)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Получение заявителем (инвестором) акта о готовности сетей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 и газоиспользующего оборудования объекта капитального строительства подключению </w:t>
            </w:r>
          </w:p>
          <w:p w14:paraId="4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(технологическому присоединению)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Акт о готовности сетей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 и газоиспользующего оборудования объекта капитального строительства к подключению (техническому присоединению) рекомендации по результатам мониторинга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Подписанный акт о готовности сетей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 и газоиспользующего оборудования объекта капитального строительства к подключению (технологическому присоединению) </w:t>
            </w:r>
          </w:p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3, подпункт «г» пункта 71 Правил подключения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Заявитель (инвестор) подает заявление о заключении договора на техническое обслуживание сети газораспределения и (или)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 и внутридомового (или) внутриквартирного газового оборудования (</w:t>
            </w:r>
            <w:r>
              <w:rPr>
                <w:rFonts w:ascii="Times New Roman" w:hAnsi="Times New Roman"/>
                <w:color w:val="000000"/>
              </w:rPr>
              <w:t>далее-договор</w:t>
            </w:r>
            <w:r>
              <w:rPr>
                <w:rFonts w:ascii="Times New Roman" w:hAnsi="Times New Roman"/>
                <w:color w:val="000000"/>
              </w:rPr>
              <w:t xml:space="preserve"> на ТО)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Пакет учредительных документов заявителя (инвестора); </w:t>
            </w:r>
          </w:p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Акт приемки </w:t>
            </w:r>
            <w:r>
              <w:rPr>
                <w:rFonts w:ascii="Times New Roman" w:hAnsi="Times New Roman"/>
                <w:color w:val="000000"/>
              </w:rPr>
              <w:t>законченного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строительства; </w:t>
            </w:r>
          </w:p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Исполнительная техническая документация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Зарегистрированное заявление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Подпункт "е" пункта 74 Правил подключения, Федеральный закон от 21 июля 1997 г. №116-ФЗ "О промышленной безопасности опасных производственных объектов" </w:t>
            </w:r>
            <w:r>
              <w:rPr>
                <w:rFonts w:ascii="Times New Roman" w:hAnsi="Times New Roman"/>
                <w:color w:val="000000"/>
              </w:rPr>
              <w:t xml:space="preserve">(далее </w:t>
            </w:r>
            <w:r>
              <w:rPr>
                <w:rFonts w:ascii="Times New Roman" w:hAnsi="Times New Roman"/>
                <w:color w:val="000000"/>
              </w:rPr>
              <w:t>-Ф</w:t>
            </w:r>
            <w:r>
              <w:rPr>
                <w:rFonts w:ascii="Times New Roman" w:hAnsi="Times New Roman"/>
                <w:color w:val="000000"/>
              </w:rPr>
              <w:t xml:space="preserve">едеральный закон 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№116-ФЗ); </w:t>
            </w:r>
          </w:p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Постановление Правительства Российской Федерации от 29 октября 2010г. 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870 "Об утверждении </w:t>
            </w:r>
          </w:p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технического регламента о безопасности сетей газораспределения и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>" (далее - Постановление №870)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Заявитель (инвестор) подает заявление о заключении договора на поставку газа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Копия учредительных документов юридического лица или паспорта индивидуального предпринимателя; </w:t>
            </w:r>
          </w:p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Копия свидетельства о государственной регистрации юридического лица или свидетельства о </w:t>
            </w:r>
          </w:p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государственной регистрации физического лица в качестве индивидуального предпринимателя; 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Копия документов, подтверждающих полномочия лиц на подписание договора от имени покупателя; </w:t>
            </w:r>
          </w:p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Копия документов, подтверждающих принадлежность газоиспользующего оборудования (объектов газоснабжения) заявителю на праве собственности или на ином законном основании, и технических паспортов на указанное оборудование; </w:t>
            </w:r>
          </w:p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Копия акта о готовности сетей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 и </w:t>
            </w:r>
            <w:r>
              <w:rPr>
                <w:rFonts w:ascii="Times New Roman" w:hAnsi="Times New Roman"/>
                <w:color w:val="000000"/>
              </w:rPr>
              <w:t xml:space="preserve">газоиспользующего оборудования объекта капитального строительства к подключению; 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копия документов, </w:t>
            </w:r>
            <w:r>
              <w:rPr>
                <w:rFonts w:ascii="Times New Roman" w:hAnsi="Times New Roman"/>
                <w:color w:val="000000"/>
              </w:rPr>
              <w:t>подтверждающих</w:t>
            </w:r>
            <w:r>
              <w:rPr>
                <w:rFonts w:ascii="Times New Roman" w:hAnsi="Times New Roman"/>
                <w:color w:val="000000"/>
              </w:rPr>
              <w:t xml:space="preserve"> что доля поставки тепловой энергии в адрес бюджетных учреждений, деятельность которых финансируется из соответствующего бюджета на основе сметы доходов и расходов, казенных предприятий, товариществ собственников жилья, жилищно-строительных, жилищных и иных специализированных потребительских кооперативов, </w:t>
            </w:r>
          </w:p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управляющих организаций или </w:t>
            </w:r>
            <w:r>
              <w:rPr>
                <w:rFonts w:ascii="Times New Roman" w:hAnsi="Times New Roman"/>
                <w:color w:val="000000"/>
              </w:rPr>
              <w:t xml:space="preserve">индивидуальных предпринимателей, осуществляющих управление многоквартирными домами, в общем объеме поставляемых покупателем товаров и оказываемых услуг составляет более 75 процентов (предоставляются субъектами теплоснабжения с указанной долей поставляемой тепловой энергии); </w:t>
            </w:r>
          </w:p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7. Копия документа, подтверждающего установление брони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8. Копия документов, подтверждающих соблюдение заявителем требований в части технического </w:t>
            </w:r>
            <w:r>
              <w:rPr>
                <w:rFonts w:ascii="Times New Roman" w:hAnsi="Times New Roman"/>
                <w:color w:val="000000"/>
              </w:rPr>
              <w:t xml:space="preserve">обслуживания сети газораспределения и (или) внутриквартирного газового </w:t>
            </w:r>
          </w:p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оборудования, технических устройств, применяемых на опасном производственном объекте, локализации и ликвидации аварийных ситуаций (последствий аварий) (в случае, если сеть </w:t>
            </w:r>
            <w:r>
              <w:rPr>
                <w:rFonts w:ascii="Times New Roman" w:hAnsi="Times New Roman"/>
                <w:color w:val="000000"/>
              </w:rPr>
              <w:t>газопотребления</w:t>
            </w:r>
            <w:r>
              <w:rPr>
                <w:rFonts w:ascii="Times New Roman" w:hAnsi="Times New Roman"/>
                <w:color w:val="000000"/>
              </w:rPr>
              <w:t xml:space="preserve"> заявителя является опасным производственным объектом или объектом технического регулирования)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Договор поставки газа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Заявителем (инвестором) направляется </w:t>
            </w:r>
          </w:p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уведомление о заключении </w:t>
            </w:r>
            <w:r>
              <w:rPr>
                <w:rFonts w:ascii="Times New Roman" w:hAnsi="Times New Roman"/>
                <w:color w:val="000000"/>
              </w:rPr>
              <w:t xml:space="preserve">договоров на ТО и поставку газа 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позднее срока подключения, установленного договором о </w:t>
            </w:r>
            <w:r>
              <w:rPr>
                <w:rFonts w:ascii="Times New Roman" w:hAnsi="Times New Roman"/>
                <w:color w:val="000000"/>
              </w:rPr>
              <w:t>подключении (135 календарных дней, 1,5 года, 2 года)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срока подключения, установленно</w:t>
            </w:r>
            <w:r>
              <w:rPr>
                <w:rFonts w:ascii="Times New Roman" w:hAnsi="Times New Roman"/>
                <w:color w:val="000000"/>
              </w:rPr>
              <w:t>го договором о подключении (115 календарных дней, 15 месяцев, 1,5 года)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Договор на ТО; </w:t>
            </w:r>
          </w:p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Договор на поставку газа </w:t>
            </w:r>
          </w:p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 готовности к подключению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53, 54, подпункт «е» пункта 74 Правил  </w:t>
            </w:r>
          </w:p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подключения, Федеральный закон № 116-ФЗ; Постановление </w:t>
            </w:r>
            <w:r>
              <w:rPr>
                <w:rFonts w:ascii="Times New Roman" w:hAnsi="Times New Roman"/>
                <w:color w:val="000000"/>
              </w:rPr>
              <w:t xml:space="preserve">№ 870 </w:t>
            </w:r>
          </w:p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Заявитель (исполнитель) подписывает акт о подключении </w:t>
            </w:r>
          </w:p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срока подключения, установленного договором о подключении (135 календарных дней, 1,5 года, 2 года)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срока подключения, установленного договором о подключении (115 календарных дней, 15 месяцев, 1,5 года)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Акт о подключении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Подписанный акт о подключении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 «Газпром газораспределение Вологда» (ООО «Газпром </w:t>
            </w:r>
            <w:r>
              <w:rPr>
                <w:rFonts w:ascii="Times New Roman" w:hAnsi="Times New Roman"/>
                <w:color w:val="000000"/>
              </w:rPr>
              <w:t>межрегионгаз</w:t>
            </w:r>
            <w:r>
              <w:rPr>
                <w:rFonts w:ascii="Times New Roman" w:hAnsi="Times New Roman"/>
                <w:color w:val="000000"/>
              </w:rPr>
              <w:t xml:space="preserve"> Вологда»)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53, 54,79 Правил подключения, Федеральный закон № 116-ФЗ; постановление № 870 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ody Text Indent"/>
    <w:basedOn w:val="Style_2"/>
    <w:link w:val="Style_10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10_ch" w:type="character">
    <w:name w:val="Body Text Indent"/>
    <w:basedOn w:val="Style_2_ch"/>
    <w:link w:val="Style_10"/>
    <w:rPr>
      <w:rFonts w:ascii="Times New Roman" w:hAnsi="Times New Roman"/>
      <w:sz w:val="28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2023-05-30T13:32:11Z</dcterms:modified>
</cp:coreProperties>
</file>