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для получения прав пользования рыбоводным участком для осуществления </w:t>
      </w:r>
      <w:r>
        <w:rPr>
          <w:rFonts w:ascii="Times New Roman" w:hAnsi="Times New Roman"/>
          <w:b w:val="1"/>
          <w:color w:val="000000"/>
          <w:sz w:val="28"/>
        </w:rPr>
        <w:t>аквакультуры</w:t>
      </w:r>
      <w:r>
        <w:rPr>
          <w:rFonts w:ascii="Times New Roman" w:hAnsi="Times New Roman"/>
          <w:b w:val="1"/>
          <w:color w:val="000000"/>
          <w:sz w:val="28"/>
        </w:rPr>
        <w:t xml:space="preserve"> (рыбоводства)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5"/>
        <w:gridCol w:w="1356"/>
        <w:gridCol w:w="1511"/>
        <w:gridCol w:w="831"/>
        <w:gridCol w:w="1162"/>
        <w:gridCol w:w="1436"/>
        <w:gridCol w:w="1747"/>
        <w:gridCol w:w="1747"/>
        <w:gridCol w:w="1617"/>
        <w:gridCol w:w="1535"/>
        <w:gridCol w:w="2067"/>
      </w:tblGrid>
      <w:tr>
        <w:tc>
          <w:tcPr>
            <w:tcW w:type="dxa" w:w="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Рассмотрение предложения о формировании рыбоводного участка в акватории водного объекта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Заседание комиссии проводится не позднее 30 рабочих дней со дня поступления в орган государственной власти предложений </w:t>
            </w:r>
          </w:p>
          <w:p w14:paraId="12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Предложение о формировании рыбоводного участка на водном объекте Вологодской области (заявление и карта-схема расположения планируемого рыбоводного участка на акватории водного </w:t>
            </w:r>
            <w:r>
              <w:rPr>
                <w:rFonts w:ascii="Times New Roman" w:hAnsi="Times New Roman"/>
                <w:color w:val="000000"/>
              </w:rPr>
              <w:t>объекта)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В случае положительного результата процедуры – протокол заседания комиссии с решением об определении границ рыбоводного участка на водном объекте области;</w:t>
            </w:r>
          </w:p>
          <w:p w14:paraId="1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–в течение 10 рабочих дней после подписания протокола комиссии </w:t>
            </w:r>
            <w:r>
              <w:rPr>
                <w:rFonts w:ascii="Times New Roman" w:hAnsi="Times New Roman"/>
                <w:color w:val="000000"/>
              </w:rPr>
              <w:t>Департамента сельского хозяйства и продовольственных ресурсов области определяет границы рыбоводных участков посредством принятия правового акта.</w:t>
            </w:r>
          </w:p>
          <w:p w14:paraId="18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  <w:p w14:paraId="19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отрицательного результата процедуры – протокол заседания комиссии с решение об отказе в определении границ рыбоводного участка в связи с несоответствием поступившего предложения </w:t>
            </w:r>
            <w:r>
              <w:rPr>
                <w:rFonts w:ascii="Times New Roman" w:hAnsi="Times New Roman"/>
                <w:color w:val="000000"/>
              </w:rPr>
              <w:t xml:space="preserve">нормам законодательства. 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сельского хозяйства и продовольственных ресурсов Вологодской области</w:t>
            </w: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Правительства РФ от 11.11.2014 № 1183 </w:t>
            </w:r>
          </w:p>
          <w:p w14:paraId="1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"Об утверждении Правил определения береговых линий (границ водных объектов) и (или) границ частей водных объектов, участков континентального шельфа </w:t>
            </w:r>
            <w:r>
              <w:rPr>
                <w:rFonts w:ascii="Times New Roman" w:hAnsi="Times New Roman"/>
                <w:color w:val="000000"/>
              </w:rPr>
              <w:t xml:space="preserve">Российской Федерации и участков исключительной экономической зоны Российской Федерации, признаваемых рыбоводными участками" 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 индустриального и пастбищного рыбоводства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Заявители:</w:t>
            </w:r>
          </w:p>
          <w:p w14:paraId="1F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Граждане, общественные объединения, юридические лица, крестьянские (фермерские) хозяйства и индивидуальные предприниматели, объединения юридических лиц (ассоциаций и союзов), муниципальные образования</w:t>
            </w:r>
          </w:p>
        </w:tc>
      </w:tr>
      <w:tr>
        <w:tc>
          <w:tcPr>
            <w:tcW w:type="dxa" w:w="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</w:rPr>
              <w:t>торгах</w:t>
            </w:r>
            <w:r>
              <w:rPr>
                <w:rFonts w:ascii="Times New Roman" w:hAnsi="Times New Roman"/>
                <w:color w:val="000000"/>
              </w:rPr>
              <w:t xml:space="preserve"> на право заключения договора пользования рыбоводным участком </w:t>
            </w:r>
          </w:p>
          <w:p w14:paraId="22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Торги проводятся в </w:t>
            </w:r>
            <w:r>
              <w:rPr>
                <w:rFonts w:ascii="Times New Roman" w:hAnsi="Times New Roman"/>
                <w:color w:val="000000"/>
              </w:rPr>
              <w:t>отношении</w:t>
            </w:r>
            <w:r>
              <w:rPr>
                <w:rFonts w:ascii="Times New Roman" w:hAnsi="Times New Roman"/>
                <w:color w:val="000000"/>
              </w:rPr>
              <w:t xml:space="preserve"> рыбоводного участка не позднее 3 месяцев со дня определения в установленном порядке границ рыбоводного участка. </w:t>
            </w:r>
          </w:p>
          <w:p w14:paraId="2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  <w:p w14:paraId="2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Извещение о проведении конкурса размещается организатором конкурса на официальном сайте не менее чем за 30 дней до начала проведения </w:t>
            </w:r>
            <w:r>
              <w:rPr>
                <w:rFonts w:ascii="Times New Roman" w:hAnsi="Times New Roman"/>
                <w:color w:val="000000"/>
              </w:rPr>
              <w:t xml:space="preserve">процедуры вскрытия конвертов с заявками об участии в конкурсе. </w:t>
            </w:r>
          </w:p>
          <w:p w14:paraId="2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  <w:p w14:paraId="2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процедур проведения торгов указываются в конкурсной документации.</w:t>
            </w:r>
          </w:p>
        </w:tc>
        <w:tc>
          <w:tcPr>
            <w:tcW w:type="dxa" w:w="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Заявка об участии в торгах подается в срок и по форме, которые установлены конкурсной документацией, размещенной на официальном сайте организатора торгов.</w:t>
            </w:r>
          </w:p>
          <w:p w14:paraId="2B000000">
            <w:pPr>
              <w:spacing w:after="0"/>
              <w:ind w:firstLine="415"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заявке об участии в торгах прилагаются документы указанные в конкурсной документацией, размещенной на официально</w:t>
            </w:r>
            <w:r>
              <w:rPr>
                <w:rFonts w:ascii="Times New Roman" w:hAnsi="Times New Roman"/>
                <w:color w:val="000000"/>
              </w:rPr>
              <w:t>м сайте организатора торгов.</w:t>
            </w:r>
          </w:p>
          <w:p w14:paraId="2C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 пользования рыбоводным участком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Территориальное управление Федерального агентства по рыболовству:</w:t>
            </w:r>
          </w:p>
          <w:p w14:paraId="2F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  <w:p w14:paraId="30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Правительства РФ от 15.05.2014 № 450 "Об утверждении Правил организации и проведения торгов (конкурсов, аукционов) на право заключения договора пользования рыбоводным участком" </w:t>
            </w:r>
          </w:p>
          <w:p w14:paraId="32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 индустриального и пастбищного рыбоводства</w:t>
            </w:r>
          </w:p>
        </w:tc>
        <w:tc>
          <w:tcPr>
            <w:tcW w:type="dxa" w:w="20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Заявители:</w:t>
            </w:r>
          </w:p>
          <w:p w14:paraId="35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Юридические лица, крестьянские (фермерские) хозяйства и индивидуальные предприниматели </w:t>
            </w:r>
          </w:p>
          <w:p w14:paraId="36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</w:tr>
    </w:tbl>
    <w:p w14:paraId="37000000">
      <w:pPr>
        <w:spacing w:after="0"/>
        <w:ind/>
        <w:rPr>
          <w:rFonts w:ascii="Times New Roman" w:hAnsi="Times New Roman"/>
          <w:color w:val="000000"/>
        </w:rPr>
      </w:pPr>
    </w:p>
    <w:p w14:paraId="38000000">
      <w:pPr>
        <w:spacing w:after="0"/>
        <w:ind/>
        <w:rPr>
          <w:rFonts w:ascii="Times New Roman" w:hAnsi="Times New Roman"/>
          <w:color w:val="000000"/>
        </w:rPr>
      </w:pPr>
    </w:p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Body Text Indent"/>
    <w:basedOn w:val="Style_2"/>
    <w:link w:val="Style_17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17_ch" w:type="character">
    <w:name w:val="Body Text Indent"/>
    <w:basedOn w:val="Style_2_ch"/>
    <w:link w:val="Style_17"/>
    <w:rPr>
      <w:rFonts w:ascii="Times New Roman" w:hAnsi="Times New Roman"/>
      <w:sz w:val="28"/>
    </w:rPr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2023-05-30T13:34:55Z</dcterms:modified>
</cp:coreProperties>
</file>